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218</w:t>
      </w:r>
    </w:p>
    <w:p>
      <w:r>
        <w:t>Bundesgericht (BGE), 2012-04-26, DE</w:t>
      </w:r>
    </w:p>
    <w:p>
      <w:r>
        <w:rPr>
          <w:b/>
        </w:rPr>
        <w:t xml:space="preserve">Quelle: </w:t>
      </w:r>
      <w:r>
        <w:t>https://mcp.opencaselaw.ch/entscheid/bge_138 V 218</w:t>
      </w:r>
    </w:p>
    <w:p>
      <w:r>
        <w:t>FR: ATF 138 V 218</w:t>
      </w:r>
    </w:p>
    <w:p>
      <w:r>
        <w:t>IT: DTF 138 V 218</w:t>
      </w:r>
    </w:p>
    <w:p>
      <w:pPr>
        <w:pStyle w:val="Heading2"/>
      </w:pPr>
      <w:r>
        <w:t>Regeste</w:t>
      </w:r>
    </w:p>
    <w:p>
      <w:r>
        <w:t>Regeste a Art. 25 Abs. 1 zweiter Satz ATSG; Art. 29 Abs. 2 BV; Art. 46 ATSG; Erlass der Rückerstattung unrechtmässig bezogener Witwerrenten: guter Glaube oder zumindest grobfahrlässige Verletzung der Meldepflicht hinsichtlich Wiederverheiratung? Umkehr der Beweislast wegen Verletzung der Aktenführungspflicht durch die Ausgleichskasse? Die in casu festgestellten geringfügigen Unzulänglichkeiten bei der elektronischen Verwaltung des Aktendossiers rechtfertigen keineswegs die vorinstanzliche Annahme, wonach die Ausgleichskasse der ihr obliegenden Aktenführungspflicht nicht ordnungsgemäss und vollständig nachgekommen sei und deshalb mit Bezug auf die in den Unterlagen fehlende Anzeige der Wiederverheiratung eine Umkehr der Beweislast eintrete (E. 4-9).</w:t>
      </w:r>
    </w:p>
    <w:p>
      <w:r>
        <w:t>Regeste b Art. 25 Abs. 1 zweiter Satz ATSG; Art. 70 bis AHVV; Erlassvoraussetzung des guten Glaubens in casu selbst bei Erfüllung der Meldepflicht betreffend Zivilstandsänderung zu verneinen. Man kann als wiederum Verheirateter nicht gutgläubig über Jahre hinweg weiterhin eine Witwerrente beziehen, ohne bei der Ausgleichskasse je nachgefragt zu haben, ob die Anzeige der neuerlichen Eheschliessung eingegangen und die Weiterausrichtung der Rente tatsächlich rechtens sei. Für jedermann ist nämlich einsichtig, dass der neue Zivilstand den alten ersetzt, an welchen der Bezug der Witwerrente, allein schon dem Namen nach, gebunden war (E. 10).</w:t>
      </w:r>
    </w:p>
    <w:p>
      <w:pPr>
        <w:pStyle w:val="Heading2"/>
      </w:pPr>
      <w:r>
        <w:t>Erwägungen</w:t>
      </w:r>
    </w:p>
    <w:p>
      <w:r>
        <w:rPr>
          <w:b/>
        </w:rPr>
        <w:t>E. 4</w:t>
      </w:r>
    </w:p>
    <w:p>
      <w:r>
        <w:t>Wer Leistungen in gutem Glauben empfangen hat, muss sie nicht zurückerstatten, wenn eine grosse Härte vorliegt (Art. 25 Abs. 1 zweiter Satz ATSG [SR 830.1]; vgl. auch Art. 4 Abs. 1 der Verordnung vom 11. September 2002 über den Allgemeinen Teil des Sozialversicherungsrechts [ATSV; SR 830.11] ). Wie das kantonale Gericht zutreffend dargelegt hat, ist der gute Glaube als Erlassvoraussetzung nicht schon mit der Unkenntnis des Rechtsmangels gegeben. Der Leistungsempfänger darf sich vielmehr nicht nur keiner böswilligen Absicht, sondern auch keiner groben Nachlässigkeit schuldig BGE 138 V 218 S. 221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2008 AHV Nr. 13 S. 41, 9C_14/2007 E. 4.1 mit Hinweis).</w:t>
      </w:r>
    </w:p>
    <w:p>
      <w:r>
        <w:rPr>
          <w:b/>
        </w:rPr>
        <w:t>E. 5</w:t>
      </w:r>
    </w:p>
    <w:p>
      <w:r>
        <w:t>Dass der Beschwerdegegner nach Art. 31 Abs. 1 ATSG und Art. 70 bis Abs. 1 der Verordnung vom 31. Oktober 1947 über die Alters- und Hinterlassenenversicherung (AHVV; SR 831.101) verpflichtet war, die Änderung im Zivilstand vom 15. Juni 2001 zu melden, steht ausser Frage (vgl. auch den diesbezüglichen Hinweis in der Rentenverfügung vom 13. Juni 1997). Er macht denn auch geltend, er sei - auf Veranlassung seines Steuerberaters - der ihm obliegenden Meldepflicht mit Schreiben an die Ausgleichskasse vom 7. Februar 2002 nachgekommen. Eine entsprechende Mitteilung findet sich indessen im von der Kasse geführten Aktendossier des Versicherten nicht. Ebenso wenig vermag der Beschwerdegegner einen Versandnachweis für die geltend gemachte uneingeschriebene Postsendung vorzulegen.</w:t>
      </w:r>
    </w:p>
    <w:p>
      <w:r>
        <w:rPr>
          <w:b/>
        </w:rPr>
        <w:t>E. 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BGE 125 V 193 E. 2 S. 195; je mit Hinweisen; BGE 138 V 218 S. 222 vgl. BGE 130 III 321 E. 3.2 und 3.3 S. 324 f.; SVR 2011 UV Nr. 11 S. 39, 8C_693/2010 E. 10).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mit Hinweisen; Urteil 8C_663/2009 vom 27. April 2010 E. 2.2).</w:t>
      </w:r>
    </w:p>
    <w:p>
      <w:r>
        <w:rPr>
          <w:b/>
        </w:rPr>
        <w:t>E. 7</w:t>
      </w:r>
    </w:p>
    <w:p>
      <w:r>
        <w:t>Angesichts der geschilderten Aktenlage (vorstehende E. 5 in fine) hat die Vorinstanz festgestellt, es sei einerseits möglich, dass der Beschwerdegegner mittels geltend gemachtem (in Kopie vorgelegtem) Schreiben vom 7. Februar 2002 seiner Meldepflicht tatsächlich nachgekommen sei. Anderseits sei es jedoch ebenso möglich, dass das genannte Schreiben nicht zum Zeitpunkt des angegebenen Datums erstellt, nie versandt, bei der Ausgleichskasse nicht angekommen oder aber bei ihr in Verstoss geraten sei. Keiner dieser möglichen Tatbestände sei zum heutigen Zeitpunkt mit geeigneten Beweismitteln rechtsgenüglich zu erhärten oder könne für sich beanspruchen, überwiegend wahrscheinlich zu sein. Diese vorinstanzliche Schlussfolgerung, wonach hinsichtlich einer Meldung der erneuten Eheschliessung Beweislosigkeit herrsche, ist für das Bundesgericht verbindlich (nicht publ. E. 2). Gemäss dargelegter Rechtsprechung müsste mithin der Entscheid zu Ungunsten des Beschwerdegegners ausfallen, weil dieser seine Gutgläubigkeit beim unrechtmässigen Weiterbezug der Witwerrente auf die streitige, unbewiesen gebliebene Meldung an die Ausgleichskasse stützt. Das kantonale Gericht gelangt indessen zu einem andern Ergebnis: Aufgrund verschiedener, im angefochtenen Entscheid dargelegter Umstände schliesst es auf eine unvollständige Aktenführung durch die Ausgleichskasse und leitet daraus letztlich eine Umkehr der Beweislast ab. Im Folgenden ist deshalb zu prüfen, was es mit dieser vorinstanzlichen Betrachtungsweise auf sich hat. BGE 138 V 218 S. 223</w:t>
      </w:r>
    </w:p>
    <w:p>
      <w:r>
        <w:rPr>
          <w:b/>
        </w:rPr>
        <w:t>E. 8.1.1</w:t>
      </w:r>
    </w:p>
    <w:p>
      <w:r>
        <w:t>Das Bundesgericht hat verschiedentlich festgehalten, dass eine Umkehr der Beweislast ausnahmsweise dann eintritt, wenn eine Partei einen Beweis aus Gründen nicht erbringen kann, welche nicht von ihr, sondern von der Behörde zu verantworten sind ( BGE 92 I 253 E. 3 S. 257; SVR 2011 UV Nr. 11 S. 39, 8C_693/2010 E. 12; Pra 1999 Nr. 170 S. 886, 2A.635/1998 E. 3b/bb; Urteil 4P.197/2003 vom 16. Januar 2004 E. 3.2). Einen derartigen Fall von Beweislastumkehr erblickt die Rechtsprechung etwa bei der Beweislosigkeit der Rechtzeitigkeit eines Rechtsmittels, welche darauf zurückzuführen ist, dass die Verwaltung oder Behörde den Briefumschlag, in welchem das an sie gerichtete Rechtsmittel (uneingeschrieben) verschickt wurde, in Verletzung ihrer Aktenführungspflicht nicht zu den Akten genommen und damit die Beweiserbringung für die Rechtzeitigkeit des Rechtsmittels verunmöglicht hat ( BGE 124 V 372 E. 3b S. 375; SVR 2011 UV Nr. 11 S. 39, 8C_693/2010 E. 12; 2007 AHV Nr. 8 S. 22, H 131/06 E. 3.2; Pra 1999 Nr. 170 S. 886, 2A.635/1998 E. 4; RKUV 1999 S. 416, U 344/98 E. 2 und 3).</w:t>
      </w:r>
    </w:p>
    <w:p>
      <w:r>
        <w:rPr>
          <w:b/>
        </w:rPr>
        <w:t>E. 8.1.2</w:t>
      </w:r>
    </w:p>
    <w:p>
      <w:r>
        <w:t>Die erwähnte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 BGE 130 II 473 E. 4.1 S. 477; BGE 124 V 372 E. 3b S. 375 f., BGE 124 V 389 E. 3a S. 390).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 BGE 124 V 372 E. 3b S. 376; BGE 115 Ia 97 E. 4c S. 99; Pra 1999 Nr. 170 S. 886, 2A.635/1998 E. 4a). Der verfassungsmässige Anspruch auf eine geordnete und übersichtliche Aktenführung verpflichtet die Behörden und Gerichte, die Vollständigkeit der im Verfahren eingebrachten und erstellten Akten sicherzustellen (SVR 2011 IV Nr. 44 S. 131, 8C_319/2010 E. 2.2.1;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S. 224</w:t>
      </w:r>
    </w:p>
    <w:p>
      <w:r>
        <w:rPr>
          <w:b/>
        </w:rPr>
        <w:t>E. 8.2</w:t>
      </w:r>
    </w:p>
    <w:p>
      <w:r>
        <w:t>Nach vorinstanzlicher Auffassung kann die Ausgleichskasse "keinen Anspruch auf vollständige Aktenführung erheben", weil bei Durchsicht der Kassenakten aufgefallen sei, dass die sog. Rentensteuerausweise betreffend die Waisenrente für den 1992 geborenen Sohn des Beschwerdegegners bis auf diejenigen für die Jahre 2001 und 2009 fehlten. Ebenso wenig seien Belege für die periodischen Erhöhungen der Waisenrente vorhanden, während hinsichtlich der Witwerrente lediglich die Erhöhungsblätter für 2005 und 2007 in den Akten lägen. Auffallend sei schliesslich, dass das Aktendossier des Beschwerdegegners unter der Bezeichnung "Firma Y." geführt werde. Die Ausgleichskasse wehrt sich in ihrer Beschwerde ans Bundesgericht gegen den vorinstanzlichen Vorwurf nicht ordnungsgemässer Aktenführung. Ihre Einwendungen sind zu hören, weil erst der angefochtene Entscheid dazu Anlass gab ( Art. 99 Abs. 1 BGG ). Zuvor wurde nämlich von keiner Seite geltend gemacht, die Art der Aktenführung durch die Kasse habe dem Beschwerdegegner die Beweisführung verunmöglicht. Die Beschwerdeführerin trägt vor, dass die Rentensteuerausweise für die Waisenrente keineswegs fehlten, sondern grundsätzlich im Aktendossier des Sohnes des Beschwerdegegners gespeichert würden, wobei nicht mehr eruiert werden könne, weshalb sich dennoch zwei dieser Ausweise (für die Jahre 2001 und 2009) im Dossier des Vaters befänden. Weiter führt die Kasse aus, dass sich die Beträge der in der Regel alle zwei Jahre der Lohn- und Preisentwicklung angepassten Renten den jeweiligen (für den Beschwerdegegner und dessen Sohn getrennt angelegten) sog. Historienblättern entnehmen liessen, welche vom elektronischen System automatisch per Ende Jahr oder bei einer manuellen Änderung erstellt würden (und alle lückenlos vorlägen). Weshalb die entsprechenden Rentenerhöhungsblätter nicht ebenfalls vollständig im elektronischen Archiv abgespeichert worden seien, lasse sich nicht nachvollziehen. Zur Aktenführung unter der Bezeichnung "Firma Y." wendet die Ausgleichskasse ein, dass der Beschwerdegegner sowohl unter seiner neuen als auch unter der alten AHV-Nummer sowie zusätzlich unter der Abrechnungsnummer seiner Arbeitgeberin erfasst sei. Aus systemimmanenten Gründen übersteuere die letztgenannte Nummer die beiden andern, weshalb das Dossierdeckblatt mit der Kundenbezeichnung "Firma Y." überschrieben werde, was sich jeweils nur manuell korrigieren lasse. BGE 138 V 218 S. 225</w:t>
      </w:r>
    </w:p>
    <w:p>
      <w:r>
        <w:rPr>
          <w:b/>
        </w:rPr>
        <w:t>E. 8.3</w:t>
      </w:r>
    </w:p>
    <w:p>
      <w:r>
        <w:t>Im Lichte vorstehender, von keiner Seite in Zweifel gezogenen Darlegung der Ausgleichskasse ist die vorinstanzliche Annahme, in den elektronisch verwalteten Unterlagen des Beschwerdegegners und seines Sohnes würden bestimmte massgebende, von der Kasse selbst zu verfertigende Belege gänzlich fehlen, offensichtlich unrichtig und ist demzufolge vom Bundesgericht zu korrigieren. Wohl sind zwei Kopien der dem Beschwerdegegner zuhanden der Steuerbehörden ausgestellten Rentensteuerausweise fälschlicherweise nicht im zutreffenden Dossier des Sohnes als Waisenrentenberechtigtem, sondern in demjenigen des Vaters abgelegt worden. Ferner werden die periodischen Anpassungen der Hinterlassenenrenten an die Lohn- und Preisentwicklung nur (aber immerhin) durch die jeweiligen Historienblätter lückenlos belegt, wogegen zusätzliche Rentenerhöhungsblätter im elektronischen Archiv nur zum Teil abgespeichert wurden. Diese geringfügigen Unzulänglichkeiten bei der Dossierverwaltung und das erwähnte Programmierungsproblem im Zusammenhang mit der Dossieranschrift rechtfertigen indessen keineswegs die vorinstanzliche - als Rechtsfrage frei überprüfbare - Schlussfolgerung, wonach die Ausgleichskasse der ihr obliegenden Aktenführungspflicht im Falle des Beschwerdegegners nicht ordnungsgemäss und vollständig nachgekommen sei und deshalb mit Bezug auf die in den Unterlagen fehlende Anzeige der Wiederverheiratung eine Umkehr der Beweislast eintrete. Bei den vorliegenden Gegebenheiten anders zu entscheiden hiesse, weit überhöhte Anforderungen an die Aktenführungspflicht der Versicherungsträger zu stellen.</w:t>
      </w:r>
    </w:p>
    <w:p>
      <w:r>
        <w:rPr>
          <w:b/>
        </w:rPr>
        <w:t>E. 9</w:t>
      </w:r>
    </w:p>
    <w:p>
      <w:r>
        <w:t>Trägt nach dem Gesagten der Beschwerdegegner die Beweislast, wirkt sich die Beweislosigkeit der von ihm geltend gemachten Mitteilung vom 7. Februar 2002 zu seinen Ungunsten aus: Es ist davon auszugehen, dass er seiner Meldepflicht hinsichtlich der neuerlichen Heirat nicht nachgekommen ist, obwohl ihn sein Steuerberater zur Mitteilung an die AHV-Behörden aufgefordert hat (vgl. E. 5 hievor). Unter diesen Umständen muss eine zumindest grobfahrlässige Meldepflichtverletzung angenommen werden, welche den guten Glauben als Erlassvoraussetzung von vornherein ausschliesst (in vorstehender E. 4 wiedergegebene Rechtsprechung). Entgegen der Auffassung des kantonalen Gerichts könnte auch nicht als bloss leichte Fahrlässigkeit gewertet werden, wenn der Beschwerdegegner das geltend gemachte Schreiben vom 7. Februar 2002 zwar verfasst, versehentlich aber gar nicht der Post übergeben oder an eine falsche Adresse versandt hätte (obwohl die eingereichte Kopie des fraglichen Schreibens selber die zutreffende Anschrift der Ausgleichskasse trägt). BGE 138 V 218 S. 226</w:t>
      </w:r>
    </w:p>
    <w:p>
      <w:r>
        <w:rPr>
          <w:b/>
        </w:rPr>
        <w:t>E. 10</w:t>
      </w:r>
    </w:p>
    <w:p>
      <w:r>
        <w:t>Im Übrigen änderte sich an diesem Ergebnis selbst dann nichts, wenn der Brief vom 7. Februar 2002 seine bestimmungsgemässe Empfängerin gefunden haben sollte, d.h. wenn der Meldepflicht hinsichtlich der Zivilstandsänderung seinerzeit nachgelebt worden wäre: Man kann als wiederum Verheirateter nicht gutgläubig über Jahre hinweg weiterhin eine Witwerrente beziehen, ohne bei der Ausgleichskasse je nachgefragt zu haben, ob die Anzeige der neuerlichen Eheschliessung eingegangen und die Weiterausrichtung der Rente tatsächlich rechtens sei. Für jedermann ist nämlich einsichtig, dass der neue Zivilstand den alten ersetzt, an welchen der Bezug der Witwerrente, allein schon dem Namen nach, gebunden war (vgl. RDAT 1999 I Nr. 70 S. 275, H 183/98 E. 4a). Es verhält sich nicht wesentlich anders als bei der auch nach dem Tod des Ehemannes (und der damit verbundenen Erhöhung des AHV-Rentenanspruchs) unverändert ausgerichteten Ergänzungsleistung (EL). In diesem Zusammenhang hat die Rechtsprechung den guten Glauben der nunmehr verwitweten Ehefrau beim unrechtmässigen Bezug der zu hohen EL-Betreffnisse ebenfalls verneint (Urteil des Eidg. Versicherungsgerichts P 18/75 vom 30. August 1976 E. 3, nicht publ. in: BGE 102 V 245 ).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